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D" w:rsidRPr="00603DED" w:rsidRDefault="00603DED" w:rsidP="00603DED">
      <w:pPr>
        <w:pStyle w:val="1"/>
      </w:pPr>
      <w:r w:rsidRPr="00603DED">
        <w:t xml:space="preserve">О промышленном производстве в </w:t>
      </w:r>
      <w:r w:rsidR="009504CC">
        <w:t xml:space="preserve">январе – сентябре </w:t>
      </w:r>
      <w:r w:rsidRPr="00603DED">
        <w:t>2015 года</w:t>
      </w:r>
    </w:p>
    <w:p w:rsidR="00603DED" w:rsidRDefault="00603DED" w:rsidP="00603DED">
      <w:pPr>
        <w:rPr>
          <w:rFonts w:ascii="Times New Roman" w:eastAsia="Times New Roman" w:hAnsi="Times New Roman" w:cs="Times New Roman"/>
        </w:rPr>
      </w:pPr>
    </w:p>
    <w:p w:rsidR="009504CC" w:rsidRPr="009504CC" w:rsidRDefault="009504CC" w:rsidP="009504CC">
      <w:pPr>
        <w:spacing w:before="100" w:beforeAutospacing="1" w:after="100" w:afterAutospacing="1"/>
        <w:jc w:val="both"/>
        <w:rPr>
          <w:sz w:val="20"/>
          <w:szCs w:val="20"/>
        </w:rPr>
      </w:pPr>
      <w:r w:rsidRPr="009504CC">
        <w:rPr>
          <w:sz w:val="20"/>
          <w:szCs w:val="20"/>
        </w:rPr>
        <w:t>Согласно данным Росстата, индекс промышленного производства снизился в сентябре на 3,7% в годовом выражении, что стало лучшим показателем, начиная с апреля текущего года. При сохранении определенной стабильности в добыче полезных ископаемых (как и в августе, рост составил 0,8% к соответствующему периоду прошлого года), августовская динамика обрабатывающих производств улучшилась на 1,4 п. пункта (до –5,4% к сентябрю предыдущего года против -6,8% в августе соответственно). Производство и распределение электроэнергии, газа и воды, ввиду сезонного фактора, несколько ухудшило показатели (-2,6% против -0,7% в августе). Сезонно сглаженный индекс промышленного производства, рассчитываемый Минэкономразвития России, показал еще более оптимистичные результаты, включая максимальный показатель по самому индексу (+0,8%), но, что наиболее примечательно – первый за весь 2015 год положительный показатель в обрабатывающих производствах (+1,2%). Добыча полезных ископаемых, в свою очередь, достаточно стабильна на протяжении квартала (+0,2%).</w:t>
      </w:r>
    </w:p>
    <w:p w:rsidR="009504CC" w:rsidRPr="009504CC" w:rsidRDefault="009504CC" w:rsidP="009504CC">
      <w:pPr>
        <w:spacing w:before="100" w:beforeAutospacing="1" w:after="100" w:afterAutospacing="1"/>
        <w:jc w:val="both"/>
        <w:rPr>
          <w:sz w:val="20"/>
          <w:szCs w:val="20"/>
        </w:rPr>
      </w:pPr>
      <w:r w:rsidRPr="009504CC">
        <w:rPr>
          <w:sz w:val="20"/>
          <w:szCs w:val="20"/>
        </w:rPr>
        <w:t>Таким образом, второй квартал 2015 года продолжает оставаться худшим по производственным показателям, а прогнозируемая Минэкономразвития ранее тенденция к постепенному восстановлению промышленности ближе к концу года остается в силе.</w:t>
      </w:r>
    </w:p>
    <w:p w:rsidR="009504CC" w:rsidRPr="009504CC" w:rsidRDefault="009504CC" w:rsidP="009504CC">
      <w:pPr>
        <w:spacing w:before="100" w:beforeAutospacing="1" w:after="100" w:afterAutospacing="1"/>
        <w:jc w:val="both"/>
        <w:rPr>
          <w:sz w:val="20"/>
          <w:szCs w:val="20"/>
        </w:rPr>
      </w:pPr>
      <w:r w:rsidRPr="009504CC">
        <w:rPr>
          <w:sz w:val="20"/>
          <w:szCs w:val="20"/>
        </w:rPr>
        <w:t xml:space="preserve">Промышленное производство в январе-сентябре 2015 г. снизилось на 3,2% к соответствующему периоду 2014 года. Продолжился рост добычи полезных ископаемых (0,3%). </w:t>
      </w:r>
      <w:proofErr w:type="gramStart"/>
      <w:r w:rsidRPr="009504CC">
        <w:rPr>
          <w:sz w:val="20"/>
          <w:szCs w:val="20"/>
        </w:rPr>
        <w:t>Производство и распределение электроэнергии, газа и воды сократилось на 0,6 процента).</w:t>
      </w:r>
      <w:proofErr w:type="gramEnd"/>
      <w:r w:rsidRPr="009504CC">
        <w:rPr>
          <w:sz w:val="20"/>
          <w:szCs w:val="20"/>
        </w:rPr>
        <w:t xml:space="preserve"> Снижение обрабатывающих производств в январе-сентябре составило 5,2%, вклад в общее сокращение промышленного производства составил 3,2 процента.</w:t>
      </w:r>
    </w:p>
    <w:p w:rsidR="009504CC" w:rsidRPr="009504CC" w:rsidRDefault="009504CC" w:rsidP="009504CC">
      <w:pPr>
        <w:spacing w:before="100" w:beforeAutospacing="1" w:after="100" w:afterAutospacing="1"/>
        <w:jc w:val="both"/>
        <w:rPr>
          <w:sz w:val="20"/>
          <w:szCs w:val="20"/>
        </w:rPr>
      </w:pPr>
      <w:r w:rsidRPr="009504CC">
        <w:rPr>
          <w:sz w:val="20"/>
          <w:szCs w:val="20"/>
        </w:rPr>
        <w:t xml:space="preserve">Положительная динамика отмечается в производстве пищевых продуктов (индекс производства - 101,9%), производстве кокса и нефтепродуктов (100,9%), химическом производстве (106,5%). Индекс производства данной группы отраслей составил 102,0 процента. </w:t>
      </w:r>
    </w:p>
    <w:p w:rsidR="009504CC" w:rsidRDefault="009504CC" w:rsidP="00BD6E22">
      <w:pPr>
        <w:spacing w:before="100" w:beforeAutospacing="1" w:after="100" w:afterAutospacing="1"/>
        <w:jc w:val="both"/>
        <w:rPr>
          <w:rFonts w:cs="Times New Roman"/>
          <w:b/>
          <w:bCs/>
          <w:color w:val="000000"/>
        </w:rPr>
      </w:pPr>
    </w:p>
    <w:p w:rsidR="00603DED" w:rsidRPr="00603DED" w:rsidRDefault="00603DED" w:rsidP="00603DED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cs="Times New Roman"/>
          <w:color w:val="000000"/>
          <w:sz w:val="20"/>
          <w:szCs w:val="20"/>
        </w:rPr>
      </w:pPr>
      <w:r w:rsidRPr="00603DED">
        <w:rPr>
          <w:rFonts w:cs="Times New Roman"/>
          <w:bCs/>
          <w:color w:val="000000"/>
          <w:sz w:val="20"/>
          <w:szCs w:val="20"/>
        </w:rPr>
        <w:t>Индекс промышленного производства 2013-2015 гг. (Росстат, 2015)</w:t>
      </w:r>
    </w:p>
    <w:p w:rsidR="00CB7D98" w:rsidRDefault="00CB7D98" w:rsidP="00603DED">
      <w:pPr>
        <w:spacing w:before="100" w:beforeAutospacing="1" w:after="100" w:afterAutospacing="1"/>
        <w:jc w:val="center"/>
        <w:rPr>
          <w:noProof/>
        </w:rPr>
      </w:pPr>
      <w:r>
        <w:rPr>
          <w:noProof/>
        </w:rPr>
        <w:drawing>
          <wp:inline distT="0" distB="0" distL="0" distR="0" wp14:anchorId="65A5A640" wp14:editId="1EE7C696">
            <wp:extent cx="4234068" cy="2258170"/>
            <wp:effectExtent l="0" t="0" r="0" b="8890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1116" t="46428" r="56741" b="23096"/>
                    <a:stretch/>
                  </pic:blipFill>
                  <pic:spPr bwMode="auto">
                    <a:xfrm>
                      <a:off x="0" y="0"/>
                      <a:ext cx="4233764" cy="2258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3DED" w:rsidRPr="00603DED" w:rsidRDefault="00603DED" w:rsidP="00CB7D98">
      <w:pPr>
        <w:spacing w:before="100" w:beforeAutospacing="1" w:after="100" w:afterAutospacing="1"/>
        <w:jc w:val="center"/>
        <w:rPr>
          <w:rFonts w:cs="Times New Roman"/>
          <w:color w:val="000000"/>
          <w:sz w:val="27"/>
          <w:szCs w:val="27"/>
        </w:rPr>
      </w:pPr>
    </w:p>
    <w:p w:rsidR="009504CC" w:rsidRDefault="009504CC" w:rsidP="00603DED">
      <w:pPr>
        <w:spacing w:before="100" w:beforeAutospacing="1" w:after="100" w:afterAutospacing="1"/>
        <w:rPr>
          <w:rFonts w:cs="Times New Roman"/>
          <w:i/>
          <w:iCs/>
          <w:color w:val="000000"/>
          <w:sz w:val="20"/>
          <w:szCs w:val="20"/>
        </w:rPr>
      </w:pPr>
    </w:p>
    <w:p w:rsidR="009504CC" w:rsidRDefault="009504CC" w:rsidP="00603DED">
      <w:pPr>
        <w:spacing w:before="100" w:beforeAutospacing="1" w:after="100" w:afterAutospacing="1"/>
        <w:rPr>
          <w:rFonts w:cs="Times New Roman"/>
          <w:i/>
          <w:iCs/>
          <w:color w:val="000000"/>
          <w:sz w:val="20"/>
          <w:szCs w:val="20"/>
        </w:rPr>
      </w:pPr>
    </w:p>
    <w:p w:rsidR="009504CC" w:rsidRDefault="009504CC" w:rsidP="00603DED">
      <w:pPr>
        <w:spacing w:before="100" w:beforeAutospacing="1" w:after="100" w:afterAutospacing="1"/>
        <w:rPr>
          <w:rFonts w:cs="Times New Roman"/>
          <w:i/>
          <w:iCs/>
          <w:color w:val="000000"/>
          <w:sz w:val="20"/>
          <w:szCs w:val="20"/>
        </w:rPr>
      </w:pPr>
    </w:p>
    <w:p w:rsidR="009504CC" w:rsidRDefault="009504CC" w:rsidP="00603DED">
      <w:pPr>
        <w:spacing w:before="100" w:beforeAutospacing="1" w:after="100" w:afterAutospacing="1"/>
        <w:rPr>
          <w:rFonts w:cs="Times New Roman"/>
          <w:i/>
          <w:iCs/>
          <w:color w:val="000000"/>
          <w:sz w:val="20"/>
          <w:szCs w:val="20"/>
        </w:rPr>
      </w:pPr>
    </w:p>
    <w:tbl>
      <w:tblPr>
        <w:tblStyle w:val="GridTableLight"/>
        <w:tblpPr w:leftFromText="180" w:rightFromText="180" w:vertAnchor="text" w:horzAnchor="margin" w:tblpY="385"/>
        <w:tblW w:w="5072" w:type="pct"/>
        <w:tblLook w:val="04A0" w:firstRow="1" w:lastRow="0" w:firstColumn="1" w:lastColumn="0" w:noHBand="0" w:noVBand="1"/>
      </w:tblPr>
      <w:tblGrid>
        <w:gridCol w:w="2264"/>
        <w:gridCol w:w="1523"/>
        <w:gridCol w:w="1417"/>
        <w:gridCol w:w="1541"/>
        <w:gridCol w:w="1417"/>
        <w:gridCol w:w="1541"/>
      </w:tblGrid>
      <w:tr w:rsidR="00CB7D98" w:rsidRPr="00603DED" w:rsidTr="00CB7D98">
        <w:trPr>
          <w:trHeight w:val="509"/>
        </w:trPr>
        <w:tc>
          <w:tcPr>
            <w:tcW w:w="932" w:type="pct"/>
            <w:vMerge w:val="restar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  <w:r w:rsidR="00BA59D0">
              <w:rPr>
                <w:rFonts w:cs="Times New Roman"/>
                <w:sz w:val="20"/>
                <w:szCs w:val="20"/>
              </w:rPr>
              <w:fldChar w:fldCharType="begin"/>
            </w:r>
            <w:r w:rsidR="00BA59D0">
              <w:rPr>
                <w:rFonts w:cs="Times New Roman"/>
                <w:sz w:val="20"/>
                <w:szCs w:val="20"/>
              </w:rPr>
              <w:instrText xml:space="preserve"> HYPERLINK "http://www.rutector.ru/" </w:instrText>
            </w:r>
            <w:r w:rsidR="00BA59D0">
              <w:rPr>
                <w:rFonts w:cs="Times New Roman"/>
                <w:sz w:val="20"/>
                <w:szCs w:val="20"/>
              </w:rPr>
            </w:r>
            <w:r w:rsidR="00BA59D0">
              <w:rPr>
                <w:rFonts w:cs="Times New Roman"/>
                <w:sz w:val="20"/>
                <w:szCs w:val="20"/>
              </w:rPr>
              <w:fldChar w:fldCharType="separate"/>
            </w:r>
            <w:r w:rsidR="00BA59D0" w:rsidRPr="00BA59D0">
              <w:rPr>
                <w:rStyle w:val="aa"/>
                <w:rFonts w:cs="Times New Roman"/>
                <w:sz w:val="20"/>
                <w:szCs w:val="20"/>
              </w:rPr>
              <w:t>http://www.rutector.ru/</w:t>
            </w:r>
            <w:r w:rsidR="00BA59D0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4068" w:type="pct"/>
            <w:gridSpan w:val="5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i/>
                <w:iCs/>
                <w:sz w:val="20"/>
                <w:szCs w:val="20"/>
              </w:rPr>
              <w:t>В % к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vMerge/>
            <w:hideMark/>
          </w:tcPr>
          <w:p w:rsidR="00CB7D98" w:rsidRPr="00603DED" w:rsidRDefault="00CB7D98" w:rsidP="00CB7D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pct"/>
            <w:vMerge w:val="restar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603DED">
              <w:rPr>
                <w:rFonts w:cs="Times New Roman"/>
                <w:i/>
                <w:iCs/>
                <w:sz w:val="20"/>
                <w:szCs w:val="20"/>
              </w:rPr>
              <w:t>соответс</w:t>
            </w:r>
            <w:proofErr w:type="gramStart"/>
            <w:r w:rsidRPr="00603DED">
              <w:rPr>
                <w:rFonts w:cs="Times New Roman"/>
                <w:i/>
                <w:iCs/>
                <w:sz w:val="20"/>
                <w:szCs w:val="20"/>
              </w:rPr>
              <w:t>т</w:t>
            </w:r>
            <w:proofErr w:type="spellEnd"/>
            <w:r w:rsidRPr="00603DED">
              <w:rPr>
                <w:rFonts w:cs="Times New Roman"/>
                <w:i/>
                <w:iCs/>
                <w:sz w:val="20"/>
                <w:szCs w:val="20"/>
              </w:rPr>
              <w:t>-</w:t>
            </w:r>
            <w:proofErr w:type="gramEnd"/>
            <w:r w:rsidRPr="00603DED">
              <w:rPr>
                <w:rFonts w:eastAsia="MingLiU" w:cs="MingLiU"/>
                <w:i/>
                <w:iCs/>
                <w:sz w:val="20"/>
                <w:szCs w:val="20"/>
              </w:rPr>
              <w:br/>
            </w:r>
            <w:proofErr w:type="spellStart"/>
            <w:r w:rsidRPr="00603DED">
              <w:rPr>
                <w:rFonts w:cs="Times New Roman"/>
                <w:i/>
                <w:iCs/>
                <w:sz w:val="20"/>
                <w:szCs w:val="20"/>
              </w:rPr>
              <w:t>вующему</w:t>
            </w:r>
            <w:proofErr w:type="spellEnd"/>
            <w:r w:rsidRPr="00603DED">
              <w:rPr>
                <w:rFonts w:cs="Times New Roman"/>
                <w:i/>
                <w:iCs/>
                <w:sz w:val="20"/>
                <w:szCs w:val="20"/>
              </w:rPr>
              <w:t xml:space="preserve"> периоду </w:t>
            </w:r>
            <w:r w:rsidRPr="00603DED">
              <w:rPr>
                <w:rFonts w:cs="Times New Roman"/>
                <w:i/>
                <w:iCs/>
                <w:sz w:val="20"/>
                <w:szCs w:val="20"/>
              </w:rPr>
              <w:br/>
              <w:t>предыдущего года</w:t>
            </w:r>
          </w:p>
        </w:tc>
        <w:tc>
          <w:tcPr>
            <w:tcW w:w="1618" w:type="pct"/>
            <w:gridSpan w:val="2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i/>
                <w:iCs/>
                <w:sz w:val="20"/>
                <w:szCs w:val="20"/>
              </w:rPr>
              <w:t>предыдущему </w:t>
            </w:r>
            <w:r w:rsidRPr="00603DED">
              <w:rPr>
                <w:rFonts w:cs="Times New Roman"/>
                <w:i/>
                <w:iCs/>
                <w:sz w:val="20"/>
                <w:szCs w:val="20"/>
              </w:rPr>
              <w:br/>
              <w:t>периоду</w:t>
            </w:r>
          </w:p>
        </w:tc>
        <w:tc>
          <w:tcPr>
            <w:tcW w:w="1618" w:type="pct"/>
            <w:gridSpan w:val="2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i/>
                <w:iCs/>
                <w:sz w:val="20"/>
                <w:szCs w:val="20"/>
              </w:rPr>
              <w:t>среднемесячному значению 2012г.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vMerge/>
            <w:hideMark/>
          </w:tcPr>
          <w:p w:rsidR="00CB7D98" w:rsidRPr="00603DED" w:rsidRDefault="00CB7D98" w:rsidP="00CB7D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32" w:type="pct"/>
            <w:vMerge/>
            <w:hideMark/>
          </w:tcPr>
          <w:p w:rsidR="00CB7D98" w:rsidRPr="00603DED" w:rsidRDefault="00CB7D98" w:rsidP="00CB7D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i/>
                <w:iCs/>
                <w:sz w:val="20"/>
                <w:szCs w:val="20"/>
              </w:rPr>
              <w:t>фактически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i/>
                <w:iCs/>
                <w:sz w:val="20"/>
                <w:szCs w:val="20"/>
              </w:rPr>
              <w:t>с исключением</w:t>
            </w:r>
            <w:r w:rsidRPr="00603DED">
              <w:rPr>
                <w:rFonts w:eastAsia="MingLiU" w:cs="MingLiU"/>
                <w:i/>
                <w:iCs/>
                <w:sz w:val="20"/>
                <w:szCs w:val="20"/>
              </w:rPr>
              <w:br/>
            </w:r>
            <w:r w:rsidRPr="00603DED">
              <w:rPr>
                <w:rFonts w:cs="Times New Roman"/>
                <w:i/>
                <w:iCs/>
                <w:sz w:val="20"/>
                <w:szCs w:val="20"/>
              </w:rPr>
              <w:t>сезонного и календарного факторов</w:t>
            </w:r>
            <w:proofErr w:type="gramStart"/>
            <w:r w:rsidRPr="00603DED">
              <w:rPr>
                <w:rFonts w:cs="Times New Roman"/>
                <w:i/>
                <w:iCs/>
                <w:sz w:val="20"/>
                <w:szCs w:val="20"/>
                <w:vertAlign w:val="superscript"/>
              </w:rPr>
              <w:t>1</w:t>
            </w:r>
            <w:proofErr w:type="gramEnd"/>
            <w:r w:rsidRPr="00603DED">
              <w:rPr>
                <w:rFonts w:cs="Times New Roman"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i/>
                <w:iCs/>
                <w:sz w:val="20"/>
                <w:szCs w:val="20"/>
              </w:rPr>
              <w:t>фактически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i/>
                <w:iCs/>
                <w:sz w:val="20"/>
                <w:szCs w:val="20"/>
              </w:rPr>
              <w:t>с исключением</w:t>
            </w:r>
            <w:r w:rsidRPr="00603DED">
              <w:rPr>
                <w:rFonts w:eastAsia="MingLiU" w:cs="MingLiU"/>
                <w:i/>
                <w:iCs/>
                <w:sz w:val="20"/>
                <w:szCs w:val="20"/>
              </w:rPr>
              <w:br/>
            </w:r>
            <w:r w:rsidRPr="00603DED">
              <w:rPr>
                <w:rFonts w:cs="Times New Roman"/>
                <w:i/>
                <w:iCs/>
                <w:sz w:val="20"/>
                <w:szCs w:val="20"/>
              </w:rPr>
              <w:t>сезонного и календарного факторов</w:t>
            </w:r>
            <w:proofErr w:type="gramStart"/>
            <w:r w:rsidRPr="00603DED">
              <w:rPr>
                <w:rFonts w:cs="Times New Roman"/>
                <w:i/>
                <w:iCs/>
                <w:sz w:val="20"/>
                <w:szCs w:val="20"/>
                <w:vertAlign w:val="superscript"/>
              </w:rPr>
              <w:t>1</w:t>
            </w:r>
            <w:proofErr w:type="gramEnd"/>
            <w:r w:rsidRPr="00603DED">
              <w:rPr>
                <w:rFonts w:cs="Times New Roman"/>
                <w:i/>
                <w:iCs/>
                <w:sz w:val="20"/>
                <w:szCs w:val="20"/>
                <w:vertAlign w:val="superscript"/>
              </w:rPr>
              <w:t>)</w:t>
            </w:r>
          </w:p>
        </w:tc>
      </w:tr>
      <w:tr w:rsidR="00CB7D98" w:rsidRPr="00603DED" w:rsidTr="00CB7D98">
        <w:tc>
          <w:tcPr>
            <w:tcW w:w="5000" w:type="pct"/>
            <w:gridSpan w:val="6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2014г.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8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101,7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B7D98" w:rsidRPr="00603DED" w:rsidTr="00CB7D98">
        <w:trPr>
          <w:trHeight w:val="20"/>
        </w:trPr>
        <w:tc>
          <w:tcPr>
            <w:tcW w:w="5000" w:type="pct"/>
            <w:gridSpan w:val="6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2015г.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8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100,9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78,8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97,9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92,6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101,0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8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98,4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99,2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99,1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91,9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100,1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8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99,4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110,7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100,3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101,7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100,4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I квартал</w:t>
            </w:r>
          </w:p>
        </w:tc>
        <w:tc>
          <w:tcPr>
            <w:tcW w:w="8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99,6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85,4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8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95,5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93,5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98,3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95,1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98,7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8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94,5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98,6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99,4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93,7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98,2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8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95,2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100,6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99,9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94,3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98,0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II квартал</w:t>
            </w:r>
          </w:p>
        </w:tc>
        <w:tc>
          <w:tcPr>
            <w:tcW w:w="8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95,1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98,9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I полугодие</w:t>
            </w:r>
          </w:p>
        </w:tc>
        <w:tc>
          <w:tcPr>
            <w:tcW w:w="832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97,3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77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841" w:type="pct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Июль</w:t>
            </w:r>
          </w:p>
        </w:tc>
        <w:tc>
          <w:tcPr>
            <w:tcW w:w="832" w:type="pct"/>
          </w:tcPr>
          <w:p w:rsidR="00CB7D98" w:rsidRPr="00CB7D98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bCs/>
                <w:iCs/>
                <w:sz w:val="20"/>
                <w:szCs w:val="20"/>
              </w:rPr>
            </w:pPr>
            <w:r w:rsidRPr="00CB7D98">
              <w:rPr>
                <w:rFonts w:cs="Times New Roman"/>
                <w:bCs/>
                <w:iCs/>
                <w:sz w:val="20"/>
                <w:szCs w:val="20"/>
              </w:rPr>
              <w:t>95,3</w:t>
            </w:r>
          </w:p>
        </w:tc>
        <w:tc>
          <w:tcPr>
            <w:tcW w:w="777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102,3</w:t>
            </w:r>
          </w:p>
        </w:tc>
        <w:tc>
          <w:tcPr>
            <w:tcW w:w="841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777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96,5</w:t>
            </w:r>
          </w:p>
        </w:tc>
        <w:tc>
          <w:tcPr>
            <w:tcW w:w="841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98,7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Август</w:t>
            </w:r>
          </w:p>
        </w:tc>
        <w:tc>
          <w:tcPr>
            <w:tcW w:w="832" w:type="pct"/>
          </w:tcPr>
          <w:p w:rsidR="00CB7D98" w:rsidRPr="00CB7D98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bCs/>
                <w:iCs/>
                <w:sz w:val="20"/>
                <w:szCs w:val="20"/>
              </w:rPr>
            </w:pPr>
            <w:r w:rsidRPr="00CB7D98">
              <w:rPr>
                <w:rFonts w:cs="Times New Roman"/>
                <w:bCs/>
                <w:iCs/>
                <w:sz w:val="20"/>
                <w:szCs w:val="20"/>
              </w:rPr>
              <w:t>95,7</w:t>
            </w:r>
          </w:p>
        </w:tc>
        <w:tc>
          <w:tcPr>
            <w:tcW w:w="777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100,2</w:t>
            </w:r>
          </w:p>
        </w:tc>
        <w:tc>
          <w:tcPr>
            <w:tcW w:w="841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99,7</w:t>
            </w:r>
          </w:p>
        </w:tc>
        <w:tc>
          <w:tcPr>
            <w:tcW w:w="777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96,7</w:t>
            </w:r>
          </w:p>
        </w:tc>
        <w:tc>
          <w:tcPr>
            <w:tcW w:w="841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97,9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Сентябрь</w:t>
            </w:r>
          </w:p>
        </w:tc>
        <w:tc>
          <w:tcPr>
            <w:tcW w:w="832" w:type="pct"/>
          </w:tcPr>
          <w:p w:rsidR="00CB7D98" w:rsidRPr="00CB7D98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bCs/>
                <w:iCs/>
                <w:sz w:val="20"/>
                <w:szCs w:val="20"/>
              </w:rPr>
            </w:pPr>
            <w:r w:rsidRPr="00CB7D98">
              <w:rPr>
                <w:rFonts w:cs="Times New Roman"/>
                <w:bCs/>
                <w:iCs/>
                <w:sz w:val="20"/>
                <w:szCs w:val="20"/>
              </w:rPr>
              <w:t>96,3</w:t>
            </w:r>
          </w:p>
        </w:tc>
        <w:tc>
          <w:tcPr>
            <w:tcW w:w="777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103,4</w:t>
            </w:r>
          </w:p>
        </w:tc>
        <w:tc>
          <w:tcPr>
            <w:tcW w:w="841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100,6</w:t>
            </w:r>
          </w:p>
        </w:tc>
        <w:tc>
          <w:tcPr>
            <w:tcW w:w="777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100,0</w:t>
            </w:r>
          </w:p>
        </w:tc>
        <w:tc>
          <w:tcPr>
            <w:tcW w:w="841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98,5</w:t>
            </w: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</w:tcPr>
          <w:p w:rsidR="00CB7D98" w:rsidRPr="00CB7D98" w:rsidRDefault="00CB7D98" w:rsidP="00CB7D98">
            <w:pPr>
              <w:spacing w:before="100" w:beforeAutospacing="1" w:after="100" w:afterAutospacing="1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III 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квартал</w:t>
            </w:r>
          </w:p>
        </w:tc>
        <w:tc>
          <w:tcPr>
            <w:tcW w:w="832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95,8</w:t>
            </w:r>
          </w:p>
        </w:tc>
        <w:tc>
          <w:tcPr>
            <w:tcW w:w="777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103,5</w:t>
            </w:r>
          </w:p>
        </w:tc>
        <w:tc>
          <w:tcPr>
            <w:tcW w:w="841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B7D98" w:rsidRPr="00603DED" w:rsidTr="00CB7D98">
        <w:trPr>
          <w:trHeight w:val="20"/>
        </w:trPr>
        <w:tc>
          <w:tcPr>
            <w:tcW w:w="932" w:type="pct"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Январь-сентябрь</w:t>
            </w:r>
          </w:p>
        </w:tc>
        <w:tc>
          <w:tcPr>
            <w:tcW w:w="832" w:type="pct"/>
          </w:tcPr>
          <w:p w:rsidR="00CB7D98" w:rsidRPr="00603DED" w:rsidRDefault="00CB7D98" w:rsidP="00CB7D98">
            <w:pPr>
              <w:spacing w:before="100" w:beforeAutospacing="1" w:after="100" w:afterAutospacing="1"/>
              <w:jc w:val="right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96,8</w:t>
            </w:r>
          </w:p>
        </w:tc>
        <w:tc>
          <w:tcPr>
            <w:tcW w:w="777" w:type="pct"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1" w:type="pct"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</w:p>
        </w:tc>
      </w:tr>
      <w:tr w:rsidR="00CB7D98" w:rsidRPr="00603DED" w:rsidTr="00CB7D98">
        <w:trPr>
          <w:trHeight w:val="20"/>
        </w:trPr>
        <w:tc>
          <w:tcPr>
            <w:tcW w:w="5000" w:type="pct"/>
            <w:gridSpan w:val="6"/>
            <w:hideMark/>
          </w:tcPr>
          <w:p w:rsidR="00CB7D98" w:rsidRPr="00603DED" w:rsidRDefault="00CB7D98" w:rsidP="00CB7D98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</w:rPr>
            </w:pPr>
            <w:r w:rsidRPr="00603DED">
              <w:rPr>
                <w:rFonts w:cs="Times New Roman"/>
                <w:i/>
                <w:iCs/>
                <w:sz w:val="20"/>
                <w:szCs w:val="20"/>
              </w:rPr>
              <w:t>1) Оценки данных с исключением сезонного и календарного факторов осуществлены с использованием программы "DEMETRA 2.2". При поступлении новых данных статистических наблюдений динамика может быть уточнена.</w:t>
            </w:r>
          </w:p>
        </w:tc>
      </w:tr>
    </w:tbl>
    <w:p w:rsidR="00603DED" w:rsidRPr="00603DED" w:rsidRDefault="00603DED" w:rsidP="00603DED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cs="Times New Roman"/>
          <w:color w:val="000000"/>
          <w:sz w:val="20"/>
          <w:szCs w:val="20"/>
        </w:rPr>
      </w:pPr>
      <w:r w:rsidRPr="00603DED">
        <w:rPr>
          <w:rFonts w:cs="Times New Roman"/>
          <w:color w:val="000000"/>
          <w:sz w:val="20"/>
          <w:szCs w:val="20"/>
        </w:rPr>
        <w:t>Индексы промышленного производства 2014-2015 гг. (Росстат, 2015)</w:t>
      </w:r>
    </w:p>
    <w:p w:rsidR="00BD32C9" w:rsidRDefault="00BD32C9" w:rsidP="00BD32C9">
      <w:pPr>
        <w:pStyle w:val="a4"/>
        <w:spacing w:before="100" w:beforeAutospacing="1" w:after="100" w:afterAutospacing="1"/>
        <w:rPr>
          <w:rFonts w:cs="Times New Roman"/>
          <w:color w:val="000000"/>
          <w:sz w:val="20"/>
          <w:szCs w:val="20"/>
        </w:rPr>
      </w:pPr>
    </w:p>
    <w:p w:rsidR="00017CB3" w:rsidRPr="00603DED" w:rsidRDefault="00017CB3" w:rsidP="00017CB3">
      <w:pPr>
        <w:pStyle w:val="a4"/>
        <w:numPr>
          <w:ilvl w:val="0"/>
          <w:numId w:val="1"/>
        </w:numPr>
        <w:spacing w:before="100" w:beforeAutospacing="1" w:after="100" w:afterAutospacing="1"/>
        <w:rPr>
          <w:rFonts w:cs="Times New Roman"/>
          <w:color w:val="000000"/>
          <w:sz w:val="20"/>
          <w:szCs w:val="20"/>
        </w:rPr>
      </w:pPr>
      <w:r w:rsidRPr="00603DED">
        <w:rPr>
          <w:rFonts w:cs="Times New Roman"/>
          <w:bCs/>
          <w:color w:val="000000"/>
          <w:sz w:val="20"/>
          <w:szCs w:val="20"/>
        </w:rPr>
        <w:t xml:space="preserve">Индекс промышленного производства </w:t>
      </w:r>
      <w:r>
        <w:rPr>
          <w:rFonts w:cs="Times New Roman"/>
          <w:bCs/>
          <w:color w:val="000000"/>
          <w:sz w:val="20"/>
          <w:szCs w:val="20"/>
        </w:rPr>
        <w:t xml:space="preserve">по видам деятельности </w:t>
      </w:r>
      <w:r w:rsidRPr="00603DED">
        <w:rPr>
          <w:rFonts w:cs="Times New Roman"/>
          <w:bCs/>
          <w:color w:val="000000"/>
          <w:sz w:val="20"/>
          <w:szCs w:val="20"/>
        </w:rPr>
        <w:t>2015 г. (Росстат, 2015)</w:t>
      </w:r>
    </w:p>
    <w:p w:rsidR="007A4F83" w:rsidRDefault="007A4F83" w:rsidP="00BD32C9">
      <w:pPr>
        <w:pStyle w:val="a4"/>
        <w:spacing w:before="100" w:beforeAutospacing="1" w:after="100" w:afterAutospacing="1"/>
        <w:rPr>
          <w:rFonts w:cs="Times New Roman"/>
          <w:color w:val="000000"/>
          <w:sz w:val="20"/>
          <w:szCs w:val="20"/>
        </w:rPr>
      </w:pPr>
    </w:p>
    <w:p w:rsidR="007A4F83" w:rsidRDefault="007A4F83" w:rsidP="00BD32C9">
      <w:pPr>
        <w:pStyle w:val="a4"/>
        <w:spacing w:before="100" w:beforeAutospacing="1" w:after="100" w:afterAutospacing="1"/>
        <w:rPr>
          <w:noProof/>
        </w:rPr>
      </w:pPr>
    </w:p>
    <w:p w:rsidR="007A4F83" w:rsidRDefault="007A4F83" w:rsidP="007A4F83">
      <w:pPr>
        <w:pStyle w:val="a4"/>
        <w:spacing w:before="100" w:beforeAutospacing="1" w:after="100" w:afterAutospacing="1"/>
        <w:jc w:val="center"/>
        <w:rPr>
          <w:rFonts w:cs="Times New Roman"/>
          <w:color w:val="000000"/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3C6C84B7" wp14:editId="0454B2FB">
            <wp:extent cx="4548146" cy="3273443"/>
            <wp:effectExtent l="0" t="0" r="5080" b="3175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9420" t="10714" r="20849" b="12857"/>
                    <a:stretch/>
                  </pic:blipFill>
                  <pic:spPr bwMode="auto">
                    <a:xfrm>
                      <a:off x="0" y="0"/>
                      <a:ext cx="4547822" cy="327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03DED" w:rsidRPr="00603DED" w:rsidRDefault="00BD32C9" w:rsidP="00BD32C9">
      <w:pPr>
        <w:pStyle w:val="1"/>
        <w:rPr>
          <w:rFonts w:asciiTheme="minorHAnsi" w:hAnsiTheme="minorHAnsi"/>
        </w:rPr>
      </w:pPr>
      <w:r>
        <w:lastRenderedPageBreak/>
        <w:t>Прогноз</w:t>
      </w:r>
    </w:p>
    <w:p w:rsidR="0006685B" w:rsidRDefault="0006685B"/>
    <w:p w:rsidR="00A56016" w:rsidRPr="00A56016" w:rsidRDefault="00A56016" w:rsidP="00A56016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</w:rPr>
      </w:pPr>
      <w:r w:rsidRPr="00A56016">
        <w:rPr>
          <w:rFonts w:cs="Times New Roman"/>
          <w:b/>
        </w:rPr>
        <w:t>МЭР:</w:t>
      </w:r>
      <w:r>
        <w:rPr>
          <w:rFonts w:cs="Times New Roman"/>
        </w:rPr>
        <w:t xml:space="preserve"> </w:t>
      </w:r>
      <w:r w:rsidRPr="00A56016">
        <w:rPr>
          <w:rFonts w:cs="Times New Roman"/>
        </w:rPr>
        <w:t xml:space="preserve">Динамика роста промышленности в базовом варианте после спада в 2015 году восстановится и составит в 2016 – 2018 гг. 1,5–1,9 процента. Индекс промышленного производства в 2018 году составит 103,8 % к уровню 2014 года. </w:t>
      </w:r>
    </w:p>
    <w:p w:rsidR="00A56016" w:rsidRPr="00A56016" w:rsidRDefault="00A56016" w:rsidP="00A56016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</w:rPr>
      </w:pPr>
      <w:r w:rsidRPr="00A56016">
        <w:rPr>
          <w:rFonts w:cs="Times New Roman"/>
        </w:rPr>
        <w:t xml:space="preserve">При этом ожидается сохранение тенденции опережающего роста обрабатывающих производств по сравнению с производством топливно-энергетических ресурсов. </w:t>
      </w:r>
    </w:p>
    <w:p w:rsidR="00A56016" w:rsidRPr="00A56016" w:rsidRDefault="00A56016" w:rsidP="00A56016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</w:rPr>
      </w:pPr>
      <w:r w:rsidRPr="00A56016">
        <w:rPr>
          <w:rFonts w:cs="Times New Roman"/>
        </w:rPr>
        <w:t xml:space="preserve">Наиболее быстрыми темпами в </w:t>
      </w:r>
      <w:proofErr w:type="spellStart"/>
      <w:r w:rsidRPr="00A56016">
        <w:rPr>
          <w:rFonts w:cs="Times New Roman"/>
        </w:rPr>
        <w:t>прогнозныи</w:t>
      </w:r>
      <w:proofErr w:type="spellEnd"/>
      <w:r w:rsidRPr="00A56016">
        <w:rPr>
          <w:rFonts w:cs="Times New Roman"/>
        </w:rPr>
        <w:t xml:space="preserve">̆ период будут развиваться отрасли потребительского комплекса (109,1 % – 2018 год к 2014 году). Из машиностроительных </w:t>
      </w:r>
      <w:proofErr w:type="spellStart"/>
      <w:r w:rsidRPr="00A56016">
        <w:rPr>
          <w:rFonts w:cs="Times New Roman"/>
        </w:rPr>
        <w:t>отраслеи</w:t>
      </w:r>
      <w:proofErr w:type="spellEnd"/>
      <w:r w:rsidRPr="00A56016">
        <w:rPr>
          <w:rFonts w:cs="Times New Roman"/>
        </w:rPr>
        <w:t xml:space="preserve">̆ наиболее высокие темпы роста продемонстрирует производство транспортных средств и оборудования (103,5 процента). </w:t>
      </w:r>
    </w:p>
    <w:p w:rsidR="00A56016" w:rsidRDefault="00A56016" w:rsidP="00A56016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</w:rPr>
      </w:pPr>
      <w:r w:rsidRPr="00A56016">
        <w:rPr>
          <w:rFonts w:cs="Times New Roman"/>
        </w:rPr>
        <w:t xml:space="preserve">В секторе промежуточного спроса высокими темпами будут развиваться химическое производство (107,1 %) и производство </w:t>
      </w:r>
      <w:proofErr w:type="gramStart"/>
      <w:r w:rsidRPr="00A56016">
        <w:rPr>
          <w:rFonts w:cs="Times New Roman"/>
        </w:rPr>
        <w:t>резиновых</w:t>
      </w:r>
      <w:proofErr w:type="gramEnd"/>
      <w:r w:rsidRPr="00A56016">
        <w:rPr>
          <w:rFonts w:cs="Times New Roman"/>
        </w:rPr>
        <w:t xml:space="preserve"> и пластмассовых изделий (109,4 процента). При этом более динамичное развитие предполагается в производстве отдельных базовых полимеров (полимеры этилена, пропилена, винилхлорида), минеральных удобрений, а также шин, покрышек пневматических для легковых и грузовых </w:t>
      </w:r>
      <w:proofErr w:type="spellStart"/>
      <w:r w:rsidRPr="00A56016">
        <w:rPr>
          <w:rFonts w:cs="Times New Roman"/>
        </w:rPr>
        <w:t>автомобилеи</w:t>
      </w:r>
      <w:proofErr w:type="spellEnd"/>
      <w:r w:rsidRPr="00A56016">
        <w:rPr>
          <w:rFonts w:cs="Times New Roman"/>
        </w:rPr>
        <w:t xml:space="preserve">̆. </w:t>
      </w:r>
    </w:p>
    <w:p w:rsidR="00AB324A" w:rsidRPr="00AB324A" w:rsidRDefault="00AB324A" w:rsidP="00AB324A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</w:rPr>
      </w:pPr>
      <w:r w:rsidRPr="00AB324A">
        <w:rPr>
          <w:rFonts w:cs="Times New Roman"/>
        </w:rPr>
        <w:t xml:space="preserve">При реализации оптимистичного сценария могут быть достигнуты более высокие темпы роста промышленного производства – индекс промышленного производства в 2018 году может составить 106,1 % к уровню 2014 года. Факторами, определяющими более высокую динамику промышленного производства, являются динамика инвестиций в </w:t>
      </w:r>
      <w:proofErr w:type="spellStart"/>
      <w:r w:rsidRPr="00AB324A">
        <w:rPr>
          <w:rFonts w:cs="Times New Roman"/>
        </w:rPr>
        <w:t>основнои</w:t>
      </w:r>
      <w:proofErr w:type="spellEnd"/>
      <w:r w:rsidRPr="00AB324A">
        <w:rPr>
          <w:rFonts w:cs="Times New Roman"/>
        </w:rPr>
        <w:t xml:space="preserve">̆ капитал и более высокие темпы роста реальных располагаемых доходов населения по сравнению с базовым вариантом. </w:t>
      </w:r>
    </w:p>
    <w:p w:rsidR="00AB324A" w:rsidRPr="00A56016" w:rsidRDefault="00AB324A" w:rsidP="00A56016">
      <w:pPr>
        <w:widowControl w:val="0"/>
        <w:autoSpaceDE w:val="0"/>
        <w:autoSpaceDN w:val="0"/>
        <w:adjustRightInd w:val="0"/>
        <w:spacing w:after="240"/>
        <w:jc w:val="both"/>
        <w:rPr>
          <w:rFonts w:cs="Times New Roman"/>
        </w:rPr>
      </w:pPr>
    </w:p>
    <w:p w:rsidR="00BD32C9" w:rsidRPr="00603DED" w:rsidRDefault="00BD32C9"/>
    <w:sectPr w:rsidR="00BD32C9" w:rsidRPr="00603DED" w:rsidSect="006E2556">
      <w:footerReference w:type="even" r:id="rId11"/>
      <w:footerReference w:type="default" r:id="rId1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21" w:rsidRDefault="002C4A21" w:rsidP="00603DED">
      <w:r>
        <w:separator/>
      </w:r>
    </w:p>
  </w:endnote>
  <w:endnote w:type="continuationSeparator" w:id="0">
    <w:p w:rsidR="002C4A21" w:rsidRDefault="002C4A21" w:rsidP="0060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ED" w:rsidRDefault="00603DED" w:rsidP="00B74D3E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3DED" w:rsidRDefault="00603DED" w:rsidP="00603DE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DED" w:rsidRDefault="00603DED" w:rsidP="00B74D3E">
    <w:pPr>
      <w:pStyle w:val="a5"/>
      <w:framePr w:wrap="none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59D0">
      <w:rPr>
        <w:rStyle w:val="a7"/>
        <w:noProof/>
      </w:rPr>
      <w:t>1</w:t>
    </w:r>
    <w:r>
      <w:rPr>
        <w:rStyle w:val="a7"/>
      </w:rPr>
      <w:fldChar w:fldCharType="end"/>
    </w:r>
  </w:p>
  <w:p w:rsidR="00603DED" w:rsidRDefault="00603DED" w:rsidP="00603DE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21" w:rsidRDefault="002C4A21" w:rsidP="00603DED">
      <w:r>
        <w:separator/>
      </w:r>
    </w:p>
  </w:footnote>
  <w:footnote w:type="continuationSeparator" w:id="0">
    <w:p w:rsidR="002C4A21" w:rsidRDefault="002C4A21" w:rsidP="00603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175"/>
    <w:multiLevelType w:val="hybridMultilevel"/>
    <w:tmpl w:val="71681914"/>
    <w:lvl w:ilvl="0" w:tplc="F3F457BC">
      <w:start w:val="1"/>
      <w:numFmt w:val="decimal"/>
      <w:lvlText w:val="Рисунок %1.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iCs w:val="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375F0"/>
    <w:multiLevelType w:val="hybridMultilevel"/>
    <w:tmpl w:val="8FB21226"/>
    <w:lvl w:ilvl="0" w:tplc="0FA45CCC">
      <w:start w:val="1"/>
      <w:numFmt w:val="decimal"/>
      <w:lvlText w:val="Таблица %1."/>
      <w:lvlJc w:val="left"/>
      <w:pPr>
        <w:ind w:left="720" w:hanging="360"/>
      </w:pPr>
      <w:rPr>
        <w:rFonts w:asciiTheme="minorHAnsi" w:hAnsiTheme="minorHAnsi" w:hint="default"/>
        <w:b/>
        <w:bCs/>
        <w:i w:val="0"/>
        <w:iCs w:val="0"/>
        <w:position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D"/>
    <w:rsid w:val="00017CB3"/>
    <w:rsid w:val="0006685B"/>
    <w:rsid w:val="002917BD"/>
    <w:rsid w:val="002C4A21"/>
    <w:rsid w:val="003A11E4"/>
    <w:rsid w:val="00550547"/>
    <w:rsid w:val="00603DED"/>
    <w:rsid w:val="006958A3"/>
    <w:rsid w:val="006E2556"/>
    <w:rsid w:val="00751AC8"/>
    <w:rsid w:val="007A4F83"/>
    <w:rsid w:val="008A587B"/>
    <w:rsid w:val="009504CC"/>
    <w:rsid w:val="00A56016"/>
    <w:rsid w:val="00AB324A"/>
    <w:rsid w:val="00B6059C"/>
    <w:rsid w:val="00B93714"/>
    <w:rsid w:val="00BA59D0"/>
    <w:rsid w:val="00BD32C9"/>
    <w:rsid w:val="00BD6E22"/>
    <w:rsid w:val="00CB7D98"/>
    <w:rsid w:val="00E6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D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3DED"/>
  </w:style>
  <w:style w:type="paragraph" w:styleId="a3">
    <w:name w:val="Normal (Web)"/>
    <w:basedOn w:val="a"/>
    <w:uiPriority w:val="99"/>
    <w:semiHidden/>
    <w:unhideWhenUsed/>
    <w:rsid w:val="00603DE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GridTableLight">
    <w:name w:val="Grid Table Light"/>
    <w:basedOn w:val="a1"/>
    <w:uiPriority w:val="40"/>
    <w:rsid w:val="00603D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603D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3D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603D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DED"/>
  </w:style>
  <w:style w:type="character" w:styleId="a7">
    <w:name w:val="page number"/>
    <w:basedOn w:val="a0"/>
    <w:uiPriority w:val="99"/>
    <w:semiHidden/>
    <w:unhideWhenUsed/>
    <w:rsid w:val="00603DED"/>
  </w:style>
  <w:style w:type="paragraph" w:styleId="a8">
    <w:name w:val="Balloon Text"/>
    <w:basedOn w:val="a"/>
    <w:link w:val="a9"/>
    <w:uiPriority w:val="99"/>
    <w:semiHidden/>
    <w:unhideWhenUsed/>
    <w:rsid w:val="00B605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5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4C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a">
    <w:name w:val="Hyperlink"/>
    <w:basedOn w:val="a0"/>
    <w:uiPriority w:val="99"/>
    <w:unhideWhenUsed/>
    <w:rsid w:val="00BA59D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3D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3DED"/>
  </w:style>
  <w:style w:type="paragraph" w:styleId="a3">
    <w:name w:val="Normal (Web)"/>
    <w:basedOn w:val="a"/>
    <w:uiPriority w:val="99"/>
    <w:semiHidden/>
    <w:unhideWhenUsed/>
    <w:rsid w:val="00603DE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GridTableLight">
    <w:name w:val="Grid Table Light"/>
    <w:basedOn w:val="a1"/>
    <w:uiPriority w:val="40"/>
    <w:rsid w:val="00603D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List Paragraph"/>
    <w:basedOn w:val="a"/>
    <w:uiPriority w:val="34"/>
    <w:qFormat/>
    <w:rsid w:val="00603D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03D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603D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DED"/>
  </w:style>
  <w:style w:type="character" w:styleId="a7">
    <w:name w:val="page number"/>
    <w:basedOn w:val="a0"/>
    <w:uiPriority w:val="99"/>
    <w:semiHidden/>
    <w:unhideWhenUsed/>
    <w:rsid w:val="00603DED"/>
  </w:style>
  <w:style w:type="paragraph" w:styleId="a8">
    <w:name w:val="Balloon Text"/>
    <w:basedOn w:val="a"/>
    <w:link w:val="a9"/>
    <w:uiPriority w:val="99"/>
    <w:semiHidden/>
    <w:unhideWhenUsed/>
    <w:rsid w:val="00B605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05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4C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a">
    <w:name w:val="Hyperlink"/>
    <w:basedOn w:val="a0"/>
    <w:uiPriority w:val="99"/>
    <w:unhideWhenUsed/>
    <w:rsid w:val="00BA5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tector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3862B3FA</Template>
  <TotalTime>19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О промышленном производстве в I полугодии 2015 года</vt:lpstr>
      <vt:lpstr>Прогноз</vt:lpstr>
    </vt:vector>
  </TitlesOfParts>
  <Company/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МИХАЙЛОВ Сергей</cp:lastModifiedBy>
  <cp:revision>8</cp:revision>
  <dcterms:created xsi:type="dcterms:W3CDTF">2015-10-29T09:48:00Z</dcterms:created>
  <dcterms:modified xsi:type="dcterms:W3CDTF">2015-11-24T10:00:00Z</dcterms:modified>
</cp:coreProperties>
</file>